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0"/>
        </w:rPr>
        <w:t>CONTRAT DE PRESTATION DE SERVICES DE MÉNAGE</w:t>
      </w:r>
    </w:p>
    <w:p>
      <w:pPr>
        <w:jc w:val="center"/>
      </w:pPr>
      <w:r>
        <w:rPr>
          <w:b/>
          <w:sz w:val="22"/>
        </w:rPr>
        <w:t>(Locations meublées de courte durée — Royaume du Maroc)</w:t>
      </w:r>
    </w:p>
    <w:p/>
    <w:p>
      <w:r>
        <w:t>Entre les soussignés :</w:t>
      </w:r>
    </w:p>
    <w:p>
      <w:r>
        <w:t>Le PRESTATAIRE : [DÉNOMINATION DE TON AGENCE DE MÉNAGE], [forme juridique — ex. SARL / auto-entrepreneur], RC/ICE n° [___], représentée par [NOM, PRÉNOM], CIN n° [___], sise à [ADRESSE], ci-après « le Prestataire » ;</w:t>
      </w:r>
    </w:p>
    <w:p>
      <w:r>
        <w:t>Le CLIENT : [DÉNOMINATION DE LA CONCIERGERIE / SOCIÉTÉ DE GESTION], RC/ICE n° [___], représentée par [NOM, PRÉNOM], sise à [ADRESSE], ci-après « le Client » ;</w:t>
      </w:r>
    </w:p>
    <w:p>
      <w:r>
        <w:t>Il a été convenu ce qui suit :</w:t>
      </w:r>
    </w:p>
    <w:p>
      <w:r>
        <w:rPr>
          <w:b/>
          <w:sz w:val="24"/>
        </w:rPr>
        <w:t>Article 1 — Objet</w:t>
      </w:r>
    </w:p>
    <w:p>
      <w:r>
        <w:t>Le Prestataire assure, pour le compte du Client, les prestations de ménage et de préparation des logements meublés de courte durée gérés par le Client, listés en Annexe 1 (adresses, typologies, codes d'accès). L'Annexe 1 peut être mise à jour d'un commun accord par échange écrit (WhatsApp ou email faisant foi).</w:t>
      </w:r>
    </w:p>
    <w:p>
      <w:r>
        <w:rPr>
          <w:b/>
          <w:sz w:val="24"/>
        </w:rPr>
        <w:t>Article 2 — Prestations incluses</w:t>
      </w:r>
    </w:p>
    <w:p>
      <w:r>
        <w:t>Pour chaque intervention « entre deux séjours » : nettoyage complet selon la checklist du réseau annexée (Annexe 2 — version FR/darija), changement intégral du linge (lits et serviettes), réassort des consommables (selon option de l'article 5), sortie des poubelles, contrôle visuel du logement (casse, oubli, dysfonctionnement) avec signalement immédiat, mise en place des cadeaux de bienvenue fournis par le Client, photos horodatées de chaque pièce envoyées à la fin de l'intervention.</w:t>
      </w:r>
    </w:p>
    <w:p>
      <w:r>
        <w:rPr>
          <w:b/>
          <w:sz w:val="24"/>
        </w:rPr>
        <w:t>Article 3 — Déclenchement et délais</w:t>
      </w:r>
    </w:p>
    <w:p>
      <w:r>
        <w:t>Les interventions sont déclenchées via [l'outil de planning du Client / le groupe WhatsApp dédié], avec les informations de séjour (heure de check-out, heure de check-in, nombre de voyageurs entrants).</w:t>
      </w:r>
    </w:p>
    <w:p>
      <w:r>
        <w:t>Le Prestataire s'engage à rendre le logement prêt au plus tard [1] heure avant l'heure de check-in communiquée, sous réserve d'un délai minimal de [3] heures entre check-out et check-in. Toute impossibilité est signalée immédiatement.</w:t>
      </w:r>
    </w:p>
    <w:p>
      <w:r>
        <w:rPr>
          <w:b/>
          <w:sz w:val="24"/>
        </w:rPr>
        <w:t>Article 4 — Linge</w:t>
      </w:r>
    </w:p>
    <w:p>
      <w:r>
        <w:t>Option retenue : ☐ le linge est fourni et blanchi par le Client — le Prestataire assure pose/dépose et rotation ; ☐ le linge est géré par le Prestataire (blanchisserie incluse) moyennant le supplément prévu à l'Annexe 3.</w:t>
      </w:r>
    </w:p>
    <w:p>
      <w:r>
        <w:t>Le linge ne sèche jamais dans le logement ni sur les balcons/terrasses.</w:t>
      </w:r>
    </w:p>
    <w:p>
      <w:r>
        <w:rPr>
          <w:b/>
          <w:sz w:val="24"/>
        </w:rPr>
        <w:t>Article 5 — Consommables</w:t>
      </w:r>
    </w:p>
    <w:p>
      <w:r>
        <w:t>☐ fournis par le Client (le Prestataire signale les stocks bas au moins un passage à l'avance) ; ☐ fournis par le Prestataire et refacturés au réel + [10] % de frais de gestion, selon la liste de l'Annexe 3.</w:t>
      </w:r>
    </w:p>
    <w:p>
      <w:r>
        <w:rPr>
          <w:b/>
          <w:sz w:val="24"/>
        </w:rPr>
        <w:t>Article 6 — Tarifs</w:t>
      </w:r>
    </w:p>
    <w:p>
      <w:r>
        <w:t>Tarification par intervention, selon typologie (Annexe 3) — à titre indicatif :</w:t>
      </w:r>
    </w:p>
    <w:p>
      <w:r>
        <w:t>Studio : [150] DH · T2 : [200] DH · T3 : [250] DH · Villa : [sur devis].</w:t>
      </w:r>
    </w:p>
    <w:p>
      <w:r>
        <w:t>Interventions supplémentaires (grand ménage, fin de travaux, vitres complètes) : sur devis. Majoration de [25] % pour toute intervention demandée avec moins de [4] heures de préavis ou les jours fériés.</w:t>
      </w:r>
    </w:p>
    <w:p>
      <w:r>
        <w:rPr>
          <w:b/>
          <w:sz w:val="24"/>
        </w:rPr>
        <w:t>Article 7 — Facturation et paiement</w:t>
      </w:r>
    </w:p>
    <w:p>
      <w:r>
        <w:t>Facture mensuelle récapitulative émise le [1er] du mois suivant, détaillant chaque intervention (date, logement, type). Paiement par virement sous [10] jours. TVA en sus si le Prestataire y est assujetti.</w:t>
      </w:r>
    </w:p>
    <w:p>
      <w:r>
        <w:rPr>
          <w:b/>
          <w:sz w:val="24"/>
        </w:rPr>
        <w:t>Article 8 — Qualité et reprises</w:t>
      </w:r>
    </w:p>
    <w:p>
      <w:r>
        <w:t>Toute non-conformité à la checklist signalée par le Client dans les [12] heures suivant l'intervention (photos à l'appui) donne lieu à une reprise gratuite dans les [4] heures, ou à défaut au non-paiement de l'intervention concernée. Trois non-conformités majeures dans le même mois ouvrent droit à résiliation anticipée par le Client.</w:t>
      </w:r>
    </w:p>
    <w:p>
      <w:r>
        <w:rPr>
          <w:b/>
          <w:sz w:val="24"/>
        </w:rPr>
        <w:t>Article 9 — Personnel</w:t>
      </w:r>
    </w:p>
    <w:p>
      <w:r>
        <w:t>Le personnel d'intervention est recruté, rémunéré, déclaré (CNSS) et encadré exclusivement par le Prestataire. Aucun lien de subordination n'existe entre ce personnel et le Client. Le Prestataire affecte, autant que possible, des intervenant(e)s réguliers aux mêmes logements.</w:t>
      </w:r>
    </w:p>
    <w:p>
      <w:r>
        <w:rPr>
          <w:b/>
          <w:sz w:val="24"/>
        </w:rPr>
        <w:t>Article 10 — Accès, clés et confidentialité</w:t>
      </w:r>
    </w:p>
    <w:p>
      <w:r>
        <w:t>Les modalités d'accès (boîtes à clés, codes, badges) sont strictement confidentielles. Le Prestataire s'interdit toute divulgation, toute copie de clé et toute présence dans les logements hors interventions planifiées. Les codes sont restitués/réputés caducs à la fin du contrat.</w:t>
      </w:r>
    </w:p>
    <w:p>
      <w:r>
        <w:rPr>
          <w:b/>
          <w:sz w:val="24"/>
        </w:rPr>
        <w:t>Article 11 — Assurance et responsabilité</w:t>
      </w:r>
    </w:p>
    <w:p>
      <w:r>
        <w:t>Le Prestataire déclare être titulaire d'une assurance responsabilité civile professionnelle couvrant les dommages causés dans le cadre des prestations. Toute casse imputable au Prestataire est signalée immédiatement et indemnisée à valeur de remplacement, déduction possible sur la facture du mois.</w:t>
      </w:r>
    </w:p>
    <w:p>
      <w:r>
        <w:rPr>
          <w:b/>
          <w:sz w:val="24"/>
        </w:rPr>
        <w:t>Article 12 — Non-sollicitation</w:t>
      </w:r>
    </w:p>
    <w:p>
      <w:r>
        <w:t>Pendant la durée du contrat et [12] mois après, le Client s'interdit d'embaucher directement le personnel du Prestataire, et le Prestataire s'interdit de démarcher directement les propriétaires des logements du Client.</w:t>
      </w:r>
    </w:p>
    <w:p>
      <w:r>
        <w:rPr>
          <w:b/>
          <w:sz w:val="24"/>
        </w:rPr>
        <w:t>Article 13 — Durée et résiliation</w:t>
      </w:r>
    </w:p>
    <w:p>
      <w:r>
        <w:t>Contrat conclu pour [12] mois à compter du [DATE], renouvelable tacitement. Résiliation par chaque partie avec un préavis de [1] mois par écrit. Résiliation immédiate en cas de manquement grave (article 8, violation de l'article 10).</w:t>
      </w:r>
    </w:p>
    <w:p>
      <w:r>
        <w:rPr>
          <w:b/>
          <w:sz w:val="24"/>
        </w:rPr>
        <w:t>Article 14 — Droit applicable</w:t>
      </w:r>
    </w:p>
    <w:p>
      <w:r>
        <w:t>Le présent contrat est régi par le droit marocain. Litiges : tribunaux de [VILLE], après tentative de règlement amiable.</w:t>
      </w:r>
    </w:p>
    <w:p/>
    <w:p>
      <w:r>
        <w:t>Fait à [VILLE], le [DATE], en deux exemplaires.</w:t>
      </w:r>
    </w:p>
    <w:p/>
    <w:p>
      <w:r>
        <w:t>Le Prestataire                                                            Le Client</w:t>
      </w:r>
    </w:p>
    <w:p/>
    <w:p>
      <w:r>
        <w:rPr>
          <w:i/>
          <w:sz w:val="18"/>
        </w:rPr>
        <w:t>Annexes : 1. Liste des logements · 2. Checklist ménage du réseau (FR/darija) · 3. Grille tarifaire et options linge/consommables.</w:t>
        <w:br/>
        <w:t>⚠️ Modèle fourni par LE RÉSEAU à titre indicatif — à adapter et faire valider par un professionnel du droit.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